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662B0" w:rsidTr="002662B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632" w:type="dxa"/>
          </w:tcPr>
          <w:p w:rsidR="0085476D" w:rsidRDefault="008F52A5" w:rsidP="002662B0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sz w:val="14"/>
                <w:szCs w:val="14"/>
              </w:rPr>
              <w:drawing>
                <wp:anchor distT="0" distB="0" distL="114300" distR="114300" simplePos="0" relativeHeight="251658239" behindDoc="1" locked="0" layoutInCell="1" allowOverlap="1" wp14:anchorId="3203679C" wp14:editId="47AAA151">
                  <wp:simplePos x="0" y="0"/>
                  <wp:positionH relativeFrom="column">
                    <wp:posOffset>-276909</wp:posOffset>
                  </wp:positionH>
                  <wp:positionV relativeFrom="paragraph">
                    <wp:posOffset>-527507</wp:posOffset>
                  </wp:positionV>
                  <wp:extent cx="1626829" cy="2110153"/>
                  <wp:effectExtent l="0" t="0" r="0" b="4445"/>
                  <wp:wrapNone/>
                  <wp:docPr id="1026" name="Picture 2" descr="C:\Users\8600-9~1\AppData\Local\Temp\Rar$DIa6728.24573\FNS_logo_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8600-9~1\AppData\Local\Temp\Rar$DIa6728.24573\FNS_logo_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29" cy="21101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76D" w:rsidRPr="0085476D"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26796" wp14:editId="132CA004">
                      <wp:simplePos x="0" y="0"/>
                      <wp:positionH relativeFrom="column">
                        <wp:posOffset>1108774</wp:posOffset>
                      </wp:positionH>
                      <wp:positionV relativeFrom="paragraph">
                        <wp:posOffset>165267</wp:posOffset>
                      </wp:positionV>
                      <wp:extent cx="5501982" cy="502920"/>
                      <wp:effectExtent l="0" t="0" r="0" b="0"/>
                      <wp:wrapNone/>
                      <wp:docPr id="1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1982" cy="5029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57B2D" w:rsidRPr="00057B2D" w:rsidRDefault="0085476D" w:rsidP="008547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</w:pPr>
                                  <w:r w:rsidRPr="00057B2D"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УПРАВЛЕНИЕ ФЕДЕРАЛЬНОЙ НАЛОГОВОЙ СЛУЖБЫ </w:t>
                                  </w:r>
                                </w:p>
                                <w:p w:rsidR="0085476D" w:rsidRPr="00057B2D" w:rsidRDefault="0085476D" w:rsidP="008547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57B2D"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  <w:t>ПО ХАНТЫ-МАНСИЙСКОМУ АВТОНОМНОМУ ОКРУГУ-ЮГРЕ</w:t>
                                  </w:r>
                                </w:p>
                              </w:txbxContent>
                            </wps:txbx>
                            <wps:bodyPr wrap="square" lIns="71536" tIns="35768" rIns="71536" bIns="35768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0" o:spid="_x0000_s1026" style="position:absolute;left:0;text-align:left;margin-left:87.3pt;margin-top:13pt;width:433.2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" filled="f" stroked="f">
                      <v:textbox style="mso-fit-shape-to-text:t" inset="1.98711mm,.99356mm,1.98711mm,.99356mm">
                        <w:txbxContent>
                          <w:p w:rsidR="00057B2D" w:rsidRPr="00057B2D" w:rsidRDefault="0085476D" w:rsidP="008547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057B2D"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  <w:t xml:space="preserve">УПРАВЛЕНИЕ ФЕДЕРАЛЬНОЙ НАЛОГОВОЙ СЛУЖБЫ </w:t>
                            </w:r>
                          </w:p>
                          <w:p w:rsidR="0085476D" w:rsidRPr="00057B2D" w:rsidRDefault="0085476D" w:rsidP="008547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057B2D"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  <w:t>ПО ХАНТЫ-МАНСИЙСКОМУ АВТОНОМНОМУ ОКРУГУ-ЮГРЕ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476D" w:rsidRDefault="0085476D" w:rsidP="0085476D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662B0" w:rsidRDefault="002662B0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sz w:val="28"/>
                <w:szCs w:val="28"/>
              </w:rPr>
              <w:t>ОБ АЗАРТНЫХ ИГРАХ</w:t>
            </w: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Как известно, одним из опасных последствий незаконного игорного бизнеса является развитие психической зависимости - игромании – у лиц, которые приобщились к азартным играм, что представляет опасность общественной нравственности и здоровью населения.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В целях противодействия негативному явлению Федеральным законом Российской Федерации от 29.12.2006 № 244-Ф</w:t>
            </w:r>
            <w:bookmarkStart w:id="0" w:name="_GoBack"/>
            <w:bookmarkEnd w:id="0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(далее – Федеральный закон от 29.12.2006 № 244-ФЗ) игорный бизнес признан незаконным. Кроме того, данным законом даны основные понятия.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Азартная игра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основанное на риске соглашение о выигрыше, заключенное двумя или несколькими участниками соглашения между собой либо с организатором азартной игры по правилам, установленным организатором азартной игры.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 организации и проведению азартных игр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деятельность по оказанию услуг по заключению и (или) по организации заключения соглашений о выигрыше.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Игровое оборудование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устройства или приспособления, используемые для проведения азартных игр. Большинство «подпольных» игорных заведений используют контрафактное игорное оборудование, возможность выигрыша на котором практически невозможна.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игровых зон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допускается только на территориях следующих субъектов Российской Федерации: Республика Крым, Алтайский край, Краснодарский край, Приморский край, Калининградская область.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Деятельность по организации и проведению азартных игр в таких игорных заведениях как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букмекерские конторы, тотализаторы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, их пунктах приема ставок может быть организована и вне игровых зон, однако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исключительно на основании лицензий.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За незаконную организацию и (или) проведение азартных игр с использованием игрового оборудования вне игорной зоны, либо с использованием информационно-телекоммуникационных сетей, в том числе «Интернет», а также средств связи, в том числе подвижной связи, либо без полученного в установленном порядке разрешения на осуществление деятельности по организации и проведению азартных игр в игорной зоне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установлена административная ответственность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для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юридических лиц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по статье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14.1.1 Кодекса Российской Федерации об административных правонарушениях, предусмотрен штраф в размере от восьмисот тысяч до одного миллиона пятисот тысяч рублей с конфискацией игрового оборудования.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За незаконные организацию и проведение азартных игр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физические лица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подлежат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уголовной ответственности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по статье 171.2 Уголовного кодекса Российской Федерации, согласно которой незаконные организация или проведение азартных игр с использованием игрового оборудования вне игорной зоны, наказываются штрафом в размере от 300 тысяч до 500 тысяч рублей или в размере заработной платы или иного дохода осужденного за период от одного года до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трех лет, либо обязательными работами на срок от 180 до 240 часов, либо ограничением свободы на срок до 4 лет, либо лишением свободы на срок до 2 лет.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За те же деяния, совершенные группой лиц по предварительному сговору, организованной группой лиц, сопряженные с привлечением дохода в крупном размере (свыше 1 500 000 рублей) или особо крупном ра</w:t>
            </w:r>
            <w:r w:rsidR="00057B2D">
              <w:rPr>
                <w:rFonts w:ascii="Times New Roman" w:hAnsi="Times New Roman" w:cs="Times New Roman"/>
                <w:sz w:val="25"/>
                <w:szCs w:val="25"/>
              </w:rPr>
              <w:t xml:space="preserve">змере (свыше 6 000 000 рублей)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либо совершенные лицом с использованием своего служебного положения, предусмотрено максимальное наказание в размере до 1 500 000 рублей либо лишением свободы на срок до 6 лет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со штрафом в размере до 1 000 000 рублей.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Необходимо обратить внимание на то, что установка незаконного игорного оборудования на территории торгово-развлекательных учреждений, иных мест общего пользования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недопустима. Предприниматели и представители администрации учреждений, владельцы помещений, давшие согласие или не препятствовавшие установке такого оборудования, могут быть привлечены к уголовной ответственности за соучастие в организации игорной деятельности.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В случае выявления гражданином на территории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Ханты-Мансийского автономного округа – Югры признаков незаконного проведения азартных игр с использованием игрового оборудования вне игорной зоны либо с использованием информационно-телекоммуникационных сетей, в том числе сети «Интернет», а также средств связи, в том числе подвижной связи, информировать территориальные </w:t>
            </w: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органы внутренних дел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УМВД России по Ханты-Мансийскому автономному округу – Югре.</w:t>
            </w:r>
            <w:proofErr w:type="gramEnd"/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Налоговые органы осуществляют лицензионный </w:t>
            </w:r>
            <w:proofErr w:type="gram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деятельностью и проведением азартных игр в букмекерских конторах и тотализаторах. Лицензирование деятельности осуществляет ФНС России.  Широкий спектр информации в данной сфере можно получить на официальном сайте ФНС России (</w:t>
            </w:r>
            <w:hyperlink r:id="rId7" w:history="1"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www</w:t>
              </w:r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eastAsia="ru-RU"/>
                </w:rPr>
                <w:t>.</w:t>
              </w:r>
              <w:proofErr w:type="spellStart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nalog</w:t>
              </w:r>
              <w:proofErr w:type="spellEnd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eastAsia="ru-RU"/>
                </w:rPr>
                <w:t>.</w:t>
              </w:r>
              <w:proofErr w:type="spellStart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ru</w:t>
              </w:r>
              <w:proofErr w:type="spellEnd"/>
            </w:hyperlink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 в разделе иные функции ФНС России/</w:t>
            </w:r>
            <w:proofErr w:type="spell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Госрегулируемые</w:t>
            </w:r>
            <w:proofErr w:type="spellEnd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виды деятельности, в том числе: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- сведения о получателях официальной лицензии на организацию и проведение азартных игр, в том числе в сети «Интернет»; 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- наличие информации о перечне лиц, в отношении которых имеются сведения об осуществлении ими деятельности по организации и проведению азартных игр с нарушением законодательства РФ.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Организаторами азартных игр выступают исключительно юридические лица, зарегистрированные в установленном порядке на территории Российской Федерации.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Основными видами нарушений в сфере организации азартных игр в букмекерских конторах и тотализаторах являются нарушения статьи 15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Федерального закона от 29.12.2006 № 244-ФЗ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согласно которой запрещено осуществлять данную деятельность: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в объектах жилищного фонда, объектах незавершенного строительства, во временных постройках, в киосках, под навесами и в других подобных постройках;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- в зданиях, строениях, сооружениях, в которых расположены детские, образовательные, медицинские, санаторно-курортные учреждения;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- в зданиях, строениях, сооружениях автовокзалов, железнодорожных вокзалов, речных вокзалов, речных портов, аэропортов, на станциях и остановках всех видов общественного транспорта (транспорта общего пользования) городского и пригородного сообщения и т.д.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Также одним из видов нарушений лицензионных требований, предъявляемых к организаторам азартных игр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букмекерских конторах и тотализаторах, является проведение данных игр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с использованием сети «Интернет» и иных сре</w:t>
            </w: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дств св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язи.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В целях пресечения проведения азартных игр в сети «Интернет»,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Единый реестр). Установить фа</w:t>
            </w: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кт вкл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ючения/</w:t>
            </w:r>
            <w:proofErr w:type="spell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невключения</w:t>
            </w:r>
            <w:proofErr w:type="spell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доменного имени (указателя страницы сайта в сети «Интернет», сетевого адреса, позволяющего идентифицировать сайт в сети «Интернет»), возможно в Едином реестре на сайте </w:t>
            </w:r>
            <w:proofErr w:type="spell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Роскомнадзора</w:t>
            </w:r>
            <w:proofErr w:type="spell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http://eais.rkn.gov.ru.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В случае выявления гражданином на территории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Ханты-Мансийского автономного округа – Югры признаков нарушений лицензионного контроля организатором азартных игр в букмекерских конторах или пунктах приема ставок, необходимо проинформировать территориальные налоговые </w:t>
            </w: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органы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Ханты-Мансийского автономного округа – Югры.</w:t>
            </w:r>
          </w:p>
          <w:p w:rsidR="002662B0" w:rsidRDefault="002662B0" w:rsidP="008547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 нарушение лицензионных требований, установленных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Федеральным законом от 29.12.2006 № 244-ФЗ, к организаторам азартных игр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букмекерских конторах и тотализаторах, предусмотрена административная ответственность частями 3-5 статьи 14.1.1 и статьи 14.1.1-1 Кодекса Российской Федерации об административных правонарушениях, в виде штрафа в размере от 300 тысяч рублей до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1 миллиона рублей или административное приостановление деятельности на срок до девяноста суток, в зависимости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от состава совершенного деяния.</w:t>
            </w:r>
          </w:p>
        </w:tc>
      </w:tr>
    </w:tbl>
    <w:p w:rsidR="00F9505E" w:rsidRPr="0085476D" w:rsidRDefault="00F9505E" w:rsidP="00854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sectPr w:rsidR="00F9505E" w:rsidRPr="0085476D" w:rsidSect="002662B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1A"/>
    <w:rsid w:val="00035094"/>
    <w:rsid w:val="0004142F"/>
    <w:rsid w:val="00057B2D"/>
    <w:rsid w:val="000A5DD4"/>
    <w:rsid w:val="000C551A"/>
    <w:rsid w:val="001017EA"/>
    <w:rsid w:val="00114381"/>
    <w:rsid w:val="00233502"/>
    <w:rsid w:val="002662B0"/>
    <w:rsid w:val="002916DD"/>
    <w:rsid w:val="002B28A7"/>
    <w:rsid w:val="00325DDF"/>
    <w:rsid w:val="0034567B"/>
    <w:rsid w:val="003A0D53"/>
    <w:rsid w:val="00431421"/>
    <w:rsid w:val="004567D7"/>
    <w:rsid w:val="00532A8E"/>
    <w:rsid w:val="00536F66"/>
    <w:rsid w:val="00546ABA"/>
    <w:rsid w:val="005841C9"/>
    <w:rsid w:val="00697A4A"/>
    <w:rsid w:val="006B01AA"/>
    <w:rsid w:val="006D4668"/>
    <w:rsid w:val="00724BF8"/>
    <w:rsid w:val="007B61FE"/>
    <w:rsid w:val="007E3713"/>
    <w:rsid w:val="0085476D"/>
    <w:rsid w:val="00894563"/>
    <w:rsid w:val="008C08BC"/>
    <w:rsid w:val="008F52A5"/>
    <w:rsid w:val="00906C33"/>
    <w:rsid w:val="009216FD"/>
    <w:rsid w:val="00926682"/>
    <w:rsid w:val="009D192C"/>
    <w:rsid w:val="00A077A8"/>
    <w:rsid w:val="00C01DDC"/>
    <w:rsid w:val="00C34283"/>
    <w:rsid w:val="00C554D4"/>
    <w:rsid w:val="00C55B7B"/>
    <w:rsid w:val="00C8313E"/>
    <w:rsid w:val="00CD0AC5"/>
    <w:rsid w:val="00D20DF1"/>
    <w:rsid w:val="00D2558F"/>
    <w:rsid w:val="00D87FF7"/>
    <w:rsid w:val="00ED2D9B"/>
    <w:rsid w:val="00F9505E"/>
    <w:rsid w:val="00F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5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2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4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5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2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4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7FB2-4E70-43C9-B957-EFF00CFA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 Максим Викторович</dc:creator>
  <cp:keywords/>
  <dc:description/>
  <cp:lastModifiedBy>Крюков Максим Викторович</cp:lastModifiedBy>
  <cp:revision>34</cp:revision>
  <cp:lastPrinted>2019-08-26T06:14:00Z</cp:lastPrinted>
  <dcterms:created xsi:type="dcterms:W3CDTF">2019-04-16T05:21:00Z</dcterms:created>
  <dcterms:modified xsi:type="dcterms:W3CDTF">2019-08-26T06:21:00Z</dcterms:modified>
</cp:coreProperties>
</file>